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02F057" w14:textId="77777777" w:rsidR="005B6EBE" w:rsidRPr="005B6EBE" w:rsidRDefault="005B6EBE" w:rsidP="005B6EBE">
      <w:pPr>
        <w:jc w:val="center"/>
        <w:rPr>
          <w:b/>
          <w:sz w:val="28"/>
          <w:szCs w:val="28"/>
        </w:rPr>
      </w:pPr>
      <w:r w:rsidRPr="005B6EBE">
        <w:rPr>
          <w:b/>
          <w:sz w:val="28"/>
          <w:szCs w:val="28"/>
        </w:rPr>
        <w:t>English 645: Studies in the Novel</w:t>
      </w:r>
    </w:p>
    <w:p w14:paraId="15CB06A2" w14:textId="77777777" w:rsidR="005B6EBE" w:rsidRPr="005B6EBE" w:rsidRDefault="005B6EBE" w:rsidP="005B6EBE">
      <w:pPr>
        <w:jc w:val="center"/>
        <w:rPr>
          <w:b/>
          <w:sz w:val="28"/>
          <w:szCs w:val="28"/>
        </w:rPr>
      </w:pPr>
      <w:r w:rsidRPr="005B6EBE">
        <w:rPr>
          <w:b/>
          <w:sz w:val="28"/>
          <w:szCs w:val="28"/>
        </w:rPr>
        <w:t>Cosmopolitanism and the Global Novel</w:t>
      </w:r>
    </w:p>
    <w:p w14:paraId="28CA4434" w14:textId="77777777" w:rsidR="005B6EBE" w:rsidRPr="005B6EBE" w:rsidRDefault="005B6EBE" w:rsidP="005B6EBE">
      <w:pPr>
        <w:jc w:val="center"/>
        <w:rPr>
          <w:b/>
        </w:rPr>
      </w:pPr>
    </w:p>
    <w:p w14:paraId="72A74013" w14:textId="77777777" w:rsidR="005B6EBE" w:rsidRPr="001616F0" w:rsidRDefault="005B6EBE" w:rsidP="005B6EBE">
      <w:pPr>
        <w:jc w:val="center"/>
        <w:rPr>
          <w:b/>
          <w:sz w:val="28"/>
          <w:szCs w:val="28"/>
        </w:rPr>
      </w:pPr>
      <w:r w:rsidRPr="001616F0">
        <w:rPr>
          <w:b/>
          <w:sz w:val="28"/>
          <w:szCs w:val="28"/>
        </w:rPr>
        <w:t>Prof. Joseph Conte</w:t>
      </w:r>
    </w:p>
    <w:p w14:paraId="15521A28" w14:textId="77777777" w:rsidR="005B6EBE" w:rsidRPr="005B6EBE" w:rsidRDefault="005B6EBE" w:rsidP="005B6EBE">
      <w:pPr>
        <w:jc w:val="center"/>
        <w:rPr>
          <w:b/>
        </w:rPr>
      </w:pPr>
    </w:p>
    <w:p w14:paraId="09C230C0" w14:textId="77777777" w:rsidR="005B6EBE" w:rsidRPr="005B6EBE" w:rsidRDefault="005B6EBE" w:rsidP="005B6EBE">
      <w:pPr>
        <w:jc w:val="center"/>
        <w:rPr>
          <w:b/>
        </w:rPr>
      </w:pPr>
      <w:r>
        <w:rPr>
          <w:b/>
        </w:rPr>
        <w:t>Spring 2019</w:t>
      </w:r>
    </w:p>
    <w:p w14:paraId="79D4DC69" w14:textId="77777777" w:rsidR="005B6EBE" w:rsidRPr="005B6EBE" w:rsidRDefault="005B6EBE" w:rsidP="005B6EBE">
      <w:pPr>
        <w:jc w:val="center"/>
        <w:rPr>
          <w:b/>
        </w:rPr>
      </w:pPr>
      <w:r>
        <w:rPr>
          <w:b/>
        </w:rPr>
        <w:t>Reg. #: 21454/5</w:t>
      </w:r>
    </w:p>
    <w:p w14:paraId="76189DDB" w14:textId="77777777" w:rsidR="005B6EBE" w:rsidRPr="005B6EBE" w:rsidRDefault="005B6EBE" w:rsidP="005B6EBE">
      <w:pPr>
        <w:jc w:val="center"/>
      </w:pPr>
      <w:r>
        <w:rPr>
          <w:b/>
        </w:rPr>
        <w:t>M</w:t>
      </w:r>
      <w:r w:rsidRPr="005B6EBE">
        <w:rPr>
          <w:b/>
        </w:rPr>
        <w:t xml:space="preserve"> 12:30 pm–3:10 pm</w:t>
      </w:r>
    </w:p>
    <w:p w14:paraId="296CC230" w14:textId="77777777" w:rsidR="00495FFE" w:rsidRDefault="00495FFE"/>
    <w:p w14:paraId="4C626701" w14:textId="77777777" w:rsidR="005B6EBE" w:rsidRDefault="005B6EBE"/>
    <w:p w14:paraId="76167AB6" w14:textId="27AF63D9" w:rsidR="004567E2" w:rsidRDefault="004567E2" w:rsidP="004567E2">
      <w:r w:rsidRPr="004567E2">
        <w:t xml:space="preserve">In an epoch of global economic interdependency, there has been a concomitant globalization of culture. On the one hand, the homogenization of culture through the dispersal of consumer goods and the saturation of mass media destroys </w:t>
      </w:r>
      <w:r w:rsidR="007B0D47">
        <w:t xml:space="preserve">the </w:t>
      </w:r>
      <w:r w:rsidRPr="004567E2">
        <w:t>in</w:t>
      </w:r>
      <w:r w:rsidR="007B0D47">
        <w:t>digenous and authentic artifact</w:t>
      </w:r>
      <w:r w:rsidRPr="004567E2">
        <w:t>. Native languages and religious practices, ethnic foods, handicraft arts and clothing, traditional music and entertainment face slow extinction. On the other hand, the transnational culture that arises may provide positive attributes through crosspollination or eclecticism that more readily acquaints one culture with the unique differences of another, sometimes leading to creative appropriation, pluralism, tolerance, and exposure to alternative systems of belief.</w:t>
      </w:r>
    </w:p>
    <w:p w14:paraId="576E80CA" w14:textId="77777777" w:rsidR="004567E2" w:rsidRDefault="004567E2" w:rsidP="004567E2"/>
    <w:p w14:paraId="0E4D3E28" w14:textId="5C819398" w:rsidR="007B0D47" w:rsidRDefault="005848F3" w:rsidP="00A8612F">
      <w:r w:rsidRPr="004567E2">
        <w:rPr>
          <w:noProof/>
        </w:rPr>
        <w:drawing>
          <wp:anchor distT="0" distB="0" distL="114300" distR="114300" simplePos="0" relativeHeight="251659264" behindDoc="0" locked="0" layoutInCell="1" allowOverlap="1" wp14:anchorId="3EEE2A0C" wp14:editId="5D4A3F57">
            <wp:simplePos x="0" y="0"/>
            <wp:positionH relativeFrom="column">
              <wp:posOffset>19455</wp:posOffset>
            </wp:positionH>
            <wp:positionV relativeFrom="paragraph">
              <wp:posOffset>2451019</wp:posOffset>
            </wp:positionV>
            <wp:extent cx="3511992" cy="2247900"/>
            <wp:effectExtent l="76200" t="76200" r="146050" b="13970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eyond Globalization.jpg"/>
                    <pic:cNvPicPr/>
                  </pic:nvPicPr>
                  <pic:blipFill>
                    <a:blip r:embed="rId6">
                      <a:extLst>
                        <a:ext uri="{28A0092B-C50C-407E-A947-70E740481C1C}">
                          <a14:useLocalDpi xmlns:a14="http://schemas.microsoft.com/office/drawing/2010/main" val="0"/>
                        </a:ext>
                      </a:extLst>
                    </a:blip>
                    <a:stretch>
                      <a:fillRect/>
                    </a:stretch>
                  </pic:blipFill>
                  <pic:spPr>
                    <a:xfrm>
                      <a:off x="0" y="0"/>
                      <a:ext cx="3511992" cy="2247900"/>
                    </a:xfrm>
                    <a:prstGeom prst="rect">
                      <a:avLst/>
                    </a:prstGeom>
                    <a:effectLst>
                      <a:outerShdw blurRad="50800" dist="38100" dir="2700000" algn="tl" rotWithShape="0">
                        <a:prstClr val="black">
                          <a:alpha val="40000"/>
                        </a:prstClr>
                      </a:outerShdw>
                      <a:softEdge rad="38100"/>
                    </a:effectLst>
                    <a:scene3d>
                      <a:camera prst="orthographicFront"/>
                      <a:lightRig rig="threePt" dir="t"/>
                    </a:scene3d>
                    <a:sp3d>
                      <a:bevelT w="38100"/>
                    </a:sp3d>
                  </pic:spPr>
                </pic:pic>
              </a:graphicData>
            </a:graphic>
            <wp14:sizeRelH relativeFrom="page">
              <wp14:pctWidth>0</wp14:pctWidth>
            </wp14:sizeRelH>
            <wp14:sizeRelV relativeFrom="page">
              <wp14:pctHeight>0</wp14:pctHeight>
            </wp14:sizeRelV>
          </wp:anchor>
        </w:drawing>
      </w:r>
      <w:r w:rsidR="007B0D47">
        <w:t xml:space="preserve">Cosmopolitanism has its origin in </w:t>
      </w:r>
      <w:r w:rsidR="00FF006F">
        <w:t xml:space="preserve">the assertion by Diogenes </w:t>
      </w:r>
      <w:proofErr w:type="spellStart"/>
      <w:r w:rsidR="00FF006F">
        <w:t>Laërtius</w:t>
      </w:r>
      <w:proofErr w:type="spellEnd"/>
      <w:r w:rsidR="00FF006F">
        <w:t xml:space="preserve">, “I am a citizen of the world,” that he is </w:t>
      </w:r>
      <w:proofErr w:type="spellStart"/>
      <w:r w:rsidR="00FF006F">
        <w:rPr>
          <w:i/>
        </w:rPr>
        <w:t>kosmou</w:t>
      </w:r>
      <w:proofErr w:type="spellEnd"/>
      <w:r w:rsidR="00FF006F">
        <w:rPr>
          <w:i/>
        </w:rPr>
        <w:t xml:space="preserve"> </w:t>
      </w:r>
      <w:proofErr w:type="spellStart"/>
      <w:r w:rsidR="00FF006F">
        <w:rPr>
          <w:i/>
        </w:rPr>
        <w:t>politês</w:t>
      </w:r>
      <w:proofErr w:type="spellEnd"/>
      <w:r w:rsidR="00FF006F">
        <w:t xml:space="preserve">, meaning that he did not identify with his local origin or caste but rather defined himself in terms of </w:t>
      </w:r>
      <w:r w:rsidR="00210316">
        <w:t xml:space="preserve">universalism </w:t>
      </w:r>
      <w:r w:rsidR="00FF006F">
        <w:t xml:space="preserve">and compassion for the other. </w:t>
      </w:r>
      <w:r w:rsidR="00210316">
        <w:t xml:space="preserve">But such a cosmopolitanism defined as </w:t>
      </w:r>
      <w:proofErr w:type="spellStart"/>
      <w:r w:rsidR="00210316" w:rsidRPr="006014D8">
        <w:rPr>
          <w:i/>
        </w:rPr>
        <w:t>katholikos</w:t>
      </w:r>
      <w:proofErr w:type="spellEnd"/>
      <w:r w:rsidR="00210316">
        <w:t xml:space="preserve"> (catholic, “universal”) has not been sufficiently extended </w:t>
      </w:r>
      <w:r w:rsidR="007B0D47">
        <w:t xml:space="preserve">in modernity </w:t>
      </w:r>
      <w:r w:rsidR="00210316">
        <w:t xml:space="preserve">to </w:t>
      </w:r>
      <w:r w:rsidR="007B0D47">
        <w:t xml:space="preserve">non-Western cultures. </w:t>
      </w:r>
      <w:r w:rsidR="00B43309">
        <w:t>Gilles Deleuze and Félix Guattar</w:t>
      </w:r>
      <w:r w:rsidR="00390288">
        <w:t>i have proposed a transversalism</w:t>
      </w:r>
      <w:r w:rsidR="00B43309">
        <w:t xml:space="preserve"> </w:t>
      </w:r>
      <w:r w:rsidR="00A8612F">
        <w:t>that resists</w:t>
      </w:r>
      <w:r w:rsidR="00B43309">
        <w:t xml:space="preserve"> both the hegemony and homogeneity of late-capitalist globalization </w:t>
      </w:r>
      <w:r w:rsidR="00A8612F">
        <w:t xml:space="preserve">by highlighting </w:t>
      </w:r>
      <w:r w:rsidR="00B43309">
        <w:t>incommensurable cultural difference</w:t>
      </w:r>
      <w:r w:rsidR="00A8612F">
        <w:t xml:space="preserve">s </w:t>
      </w:r>
      <w:r w:rsidR="00B43309">
        <w:t xml:space="preserve">and exposure to alternative </w:t>
      </w:r>
      <w:r w:rsidR="00B43309">
        <w:rPr>
          <w:i/>
        </w:rPr>
        <w:t>idioms</w:t>
      </w:r>
      <w:r w:rsidR="00B43309">
        <w:t>.</w:t>
      </w:r>
      <w:r w:rsidR="001616F0">
        <w:t xml:space="preserve"> T</w:t>
      </w:r>
      <w:r w:rsidR="00A8612F">
        <w:t xml:space="preserve">ransversal cosmopolitans </w:t>
      </w:r>
      <w:r w:rsidR="00547503">
        <w:t>not only agree to shared values</w:t>
      </w:r>
      <w:r w:rsidR="007B0D47">
        <w:t xml:space="preserve"> with others but submit to a “shared </w:t>
      </w:r>
      <w:proofErr w:type="spellStart"/>
      <w:r w:rsidR="007B0D47">
        <w:t>deterritorialization</w:t>
      </w:r>
      <w:proofErr w:type="spellEnd"/>
      <w:r w:rsidR="007B0D47">
        <w:t>” in which they are as much</w:t>
      </w:r>
      <w:r w:rsidR="00547503">
        <w:t xml:space="preserve"> operated upon by transversalism</w:t>
      </w:r>
      <w:r w:rsidR="007B0D47">
        <w:t xml:space="preserve">, altered in their conception of origin, participant in a line of becoming, mobile in state and cultural identity, as they are operating in a transversal exchange with the other. </w:t>
      </w:r>
      <w:r w:rsidR="00A8612F">
        <w:t>Transversals are oblique, “double captures” with the potential for change that affects both elements in a correspondence.</w:t>
      </w:r>
      <w:r w:rsidR="00B2409B">
        <w:t xml:space="preserve"> The global novel is </w:t>
      </w:r>
      <w:r w:rsidR="001616F0">
        <w:t>one such</w:t>
      </w:r>
      <w:r w:rsidR="00B2409B">
        <w:t xml:space="preserve"> expression of transversal politics, not in an effort to arrive dialectically at mutual reassurances but as narratives that expose and foreground the </w:t>
      </w:r>
      <w:proofErr w:type="spellStart"/>
      <w:r w:rsidR="00B2409B">
        <w:rPr>
          <w:i/>
        </w:rPr>
        <w:t>différend</w:t>
      </w:r>
      <w:proofErr w:type="spellEnd"/>
      <w:r w:rsidR="00B2409B">
        <w:t xml:space="preserve"> which resists translation into a single global idiom.</w:t>
      </w:r>
    </w:p>
    <w:p w14:paraId="38984F6D" w14:textId="155628A3" w:rsidR="004567E2" w:rsidRPr="004567E2" w:rsidRDefault="004567E2" w:rsidP="004567E2"/>
    <w:p w14:paraId="1989F7AB" w14:textId="44EA6F93" w:rsidR="004567E2" w:rsidRDefault="005848F3" w:rsidP="004567E2">
      <w:r>
        <w:t>G</w:t>
      </w:r>
      <w:r w:rsidR="004567E2" w:rsidRPr="004567E2">
        <w:t>lobal novel</w:t>
      </w:r>
      <w:r>
        <w:t>s transcend</w:t>
      </w:r>
      <w:r w:rsidR="004567E2" w:rsidRPr="004567E2">
        <w:t xml:space="preserve"> the traditional borders of national literatures, native languages, colonialism, racial and ethnic divides, and religion. These fictions both represent and critique the technological consumerism, transnational politics, and cultural </w:t>
      </w:r>
      <w:r w:rsidR="004567E2" w:rsidRPr="004567E2">
        <w:lastRenderedPageBreak/>
        <w:t xml:space="preserve">conflicts of migration that have come to dominate globalism. Its authors—and sometimes their texts—are bi- or multilingual, even as the world Anglophone novel trades in an English language that has become the </w:t>
      </w:r>
      <w:r w:rsidR="004567E2" w:rsidRPr="004567E2">
        <w:rPr>
          <w:i/>
        </w:rPr>
        <w:t>lingua franca</w:t>
      </w:r>
      <w:r w:rsidR="004567E2" w:rsidRPr="004567E2">
        <w:t xml:space="preserve"> of an increasingly cosmopolitan citizenry. We will ask whether the global novel can be “ours” in the same manner as a national literature or in the form of shared humanitarian values—like the “white helmet” volunteers of the Syrian crisis—of liberality, human rights, and a progressive, social democracy, or whether such novels are merely another item on the checkout receipt of the marketplace of popular ideas and entertainment.</w:t>
      </w:r>
    </w:p>
    <w:p w14:paraId="5CEF1AA9" w14:textId="77777777" w:rsidR="004567E2" w:rsidRDefault="004567E2" w:rsidP="004567E2"/>
    <w:p w14:paraId="6F15A7E6" w14:textId="2EDDD1F5" w:rsidR="001616F0" w:rsidRPr="001616F0" w:rsidRDefault="001616F0" w:rsidP="001616F0">
      <w:r w:rsidRPr="001616F0">
        <w:t xml:space="preserve">Works for extended discussion </w:t>
      </w:r>
      <w:r w:rsidRPr="001616F0">
        <w:rPr>
          <w:i/>
        </w:rPr>
        <w:t>may</w:t>
      </w:r>
      <w:r w:rsidRPr="001616F0">
        <w:t xml:space="preserve"> include:</w:t>
      </w:r>
      <w:r>
        <w:t xml:space="preserve"> </w:t>
      </w:r>
      <w:r w:rsidR="00727FED" w:rsidRPr="00727FED">
        <w:t>Chimamanda Ngozi</w:t>
      </w:r>
      <w:r w:rsidR="00727FED" w:rsidRPr="00727FED">
        <w:t xml:space="preserve"> Adichie, </w:t>
      </w:r>
      <w:proofErr w:type="spellStart"/>
      <w:r w:rsidR="00727FED" w:rsidRPr="00727FED">
        <w:rPr>
          <w:i/>
        </w:rPr>
        <w:t>Americanah</w:t>
      </w:r>
      <w:proofErr w:type="spellEnd"/>
      <w:r w:rsidR="00727FED">
        <w:t xml:space="preserve"> (2013); </w:t>
      </w:r>
      <w:r w:rsidR="008372A9">
        <w:t xml:space="preserve">Roberto </w:t>
      </w:r>
      <w:proofErr w:type="spellStart"/>
      <w:r w:rsidR="008372A9">
        <w:t>Bolaño</w:t>
      </w:r>
      <w:proofErr w:type="spellEnd"/>
      <w:r w:rsidR="008372A9">
        <w:t xml:space="preserve">, </w:t>
      </w:r>
      <w:r w:rsidR="008372A9">
        <w:rPr>
          <w:i/>
        </w:rPr>
        <w:t xml:space="preserve">The Savage Detectives </w:t>
      </w:r>
      <w:r w:rsidR="008372A9">
        <w:t xml:space="preserve">(2007); </w:t>
      </w:r>
      <w:r w:rsidR="00727FED" w:rsidRPr="00727FED">
        <w:t>Kiran</w:t>
      </w:r>
      <w:r w:rsidR="00727FED" w:rsidRPr="00727FED">
        <w:t xml:space="preserve"> Desai, </w:t>
      </w:r>
      <w:r w:rsidR="00727FED" w:rsidRPr="00727FED">
        <w:rPr>
          <w:i/>
        </w:rPr>
        <w:t>The Inheritance of Loss</w:t>
      </w:r>
      <w:r w:rsidR="00727FED">
        <w:t xml:space="preserve"> (2006); </w:t>
      </w:r>
      <w:r w:rsidR="00727FED" w:rsidRPr="00727FED">
        <w:t>Dave</w:t>
      </w:r>
      <w:r w:rsidR="00727FED" w:rsidRPr="00727FED">
        <w:t xml:space="preserve"> Eggers, </w:t>
      </w:r>
      <w:r w:rsidR="00727FED" w:rsidRPr="00727FED">
        <w:rPr>
          <w:i/>
        </w:rPr>
        <w:t>A Hologram for the King</w:t>
      </w:r>
      <w:r w:rsidR="00727FED">
        <w:t xml:space="preserve"> (2013) or </w:t>
      </w:r>
      <w:r w:rsidR="00727FED" w:rsidRPr="00727FED">
        <w:rPr>
          <w:i/>
          <w:iCs/>
        </w:rPr>
        <w:t xml:space="preserve">What Is the What: The Autobiography of Valentino </w:t>
      </w:r>
      <w:proofErr w:type="spellStart"/>
      <w:r w:rsidR="00727FED" w:rsidRPr="00727FED">
        <w:rPr>
          <w:i/>
          <w:iCs/>
        </w:rPr>
        <w:t>Achak</w:t>
      </w:r>
      <w:proofErr w:type="spellEnd"/>
      <w:r w:rsidR="00727FED" w:rsidRPr="00727FED">
        <w:rPr>
          <w:i/>
          <w:iCs/>
        </w:rPr>
        <w:t xml:space="preserve"> Deng</w:t>
      </w:r>
      <w:r w:rsidR="00727FED">
        <w:rPr>
          <w:iCs/>
        </w:rPr>
        <w:t xml:space="preserve"> (2006)</w:t>
      </w:r>
      <w:r w:rsidR="00727FED">
        <w:t xml:space="preserve">; </w:t>
      </w:r>
      <w:r w:rsidR="00727FED">
        <w:t>Elena</w:t>
      </w:r>
      <w:r w:rsidR="00727FED">
        <w:t xml:space="preserve"> </w:t>
      </w:r>
      <w:r w:rsidR="00727FED">
        <w:t xml:space="preserve">Ferrante, </w:t>
      </w:r>
      <w:r w:rsidR="00727FED">
        <w:rPr>
          <w:i/>
        </w:rPr>
        <w:t>My Brilliant Friend</w:t>
      </w:r>
      <w:r w:rsidR="00727FED">
        <w:t xml:space="preserve"> (2012); </w:t>
      </w:r>
      <w:r w:rsidR="00727FED">
        <w:t>Ha</w:t>
      </w:r>
      <w:r w:rsidR="00727FED">
        <w:t xml:space="preserve"> </w:t>
      </w:r>
      <w:proofErr w:type="spellStart"/>
      <w:r w:rsidR="00727FED">
        <w:t>Jin</w:t>
      </w:r>
      <w:proofErr w:type="spellEnd"/>
      <w:r w:rsidR="00727FED">
        <w:t xml:space="preserve">, </w:t>
      </w:r>
      <w:r w:rsidR="00727FED">
        <w:rPr>
          <w:i/>
        </w:rPr>
        <w:t>Nanjing Requiem</w:t>
      </w:r>
      <w:r w:rsidR="00727FED">
        <w:t xml:space="preserve"> (</w:t>
      </w:r>
      <w:r w:rsidR="00727FED">
        <w:t>2012</w:t>
      </w:r>
      <w:r w:rsidR="00727FED">
        <w:t xml:space="preserve">); </w:t>
      </w:r>
      <w:r w:rsidR="00727FED" w:rsidRPr="00727FED">
        <w:t>Mohsin</w:t>
      </w:r>
      <w:r w:rsidR="00727FED" w:rsidRPr="00727FED">
        <w:t xml:space="preserve"> Hamid,</w:t>
      </w:r>
      <w:r w:rsidR="00727FED">
        <w:t xml:space="preserve"> </w:t>
      </w:r>
      <w:r w:rsidR="00727FED">
        <w:rPr>
          <w:i/>
        </w:rPr>
        <w:t>How to Get Filthy Rich in Rising Asia</w:t>
      </w:r>
      <w:r w:rsidR="00727FED">
        <w:t xml:space="preserve"> (2013) or</w:t>
      </w:r>
      <w:r w:rsidR="00727FED" w:rsidRPr="00727FED">
        <w:t xml:space="preserve"> </w:t>
      </w:r>
      <w:r w:rsidR="00727FED" w:rsidRPr="00727FED">
        <w:rPr>
          <w:i/>
        </w:rPr>
        <w:t>Exit West</w:t>
      </w:r>
      <w:r w:rsidR="00727FED">
        <w:t xml:space="preserve"> (</w:t>
      </w:r>
      <w:r w:rsidR="00727FED" w:rsidRPr="00727FED">
        <w:t>2017</w:t>
      </w:r>
      <w:r w:rsidR="00727FED">
        <w:t xml:space="preserve">); Adam Kirsch, </w:t>
      </w:r>
      <w:r w:rsidR="00727FED">
        <w:rPr>
          <w:i/>
        </w:rPr>
        <w:t>Writing the World in the 21</w:t>
      </w:r>
      <w:r w:rsidR="00727FED" w:rsidRPr="00727FED">
        <w:rPr>
          <w:i/>
          <w:vertAlign w:val="superscript"/>
        </w:rPr>
        <w:t>st</w:t>
      </w:r>
      <w:r w:rsidR="00727FED">
        <w:rPr>
          <w:i/>
        </w:rPr>
        <w:t xml:space="preserve"> Century</w:t>
      </w:r>
      <w:r w:rsidR="00727FED">
        <w:t xml:space="preserve"> (2016); </w:t>
      </w:r>
      <w:r w:rsidR="00727FED">
        <w:t>Colum</w:t>
      </w:r>
      <w:r w:rsidR="00727FED">
        <w:t xml:space="preserve"> </w:t>
      </w:r>
      <w:r w:rsidR="00727FED">
        <w:t xml:space="preserve">McCann, </w:t>
      </w:r>
      <w:proofErr w:type="spellStart"/>
      <w:r w:rsidR="00727FED">
        <w:rPr>
          <w:i/>
        </w:rPr>
        <w:t>TransAtlantic</w:t>
      </w:r>
      <w:proofErr w:type="spellEnd"/>
      <w:r w:rsidR="00727FED">
        <w:t xml:space="preserve"> (</w:t>
      </w:r>
      <w:r w:rsidR="00727FED">
        <w:t>2014</w:t>
      </w:r>
      <w:r w:rsidR="00727FED">
        <w:t xml:space="preserve">); </w:t>
      </w:r>
      <w:r w:rsidR="00840EF1" w:rsidRPr="00840EF1">
        <w:t>Christian</w:t>
      </w:r>
      <w:r w:rsidR="00840EF1" w:rsidRPr="00840EF1">
        <w:t xml:space="preserve"> </w:t>
      </w:r>
      <w:proofErr w:type="spellStart"/>
      <w:r w:rsidR="00840EF1" w:rsidRPr="00840EF1">
        <w:t>Moraru</w:t>
      </w:r>
      <w:proofErr w:type="spellEnd"/>
      <w:r w:rsidR="00840EF1" w:rsidRPr="00840EF1">
        <w:t xml:space="preserve">, </w:t>
      </w:r>
      <w:proofErr w:type="spellStart"/>
      <w:r w:rsidR="00840EF1" w:rsidRPr="00840EF1">
        <w:rPr>
          <w:i/>
        </w:rPr>
        <w:t>Cosmodernism</w:t>
      </w:r>
      <w:proofErr w:type="spellEnd"/>
      <w:r w:rsidR="00840EF1" w:rsidRPr="00840EF1">
        <w:rPr>
          <w:i/>
        </w:rPr>
        <w:t>: American Narrative, Late Globalization, and the New Cultural Imaginary</w:t>
      </w:r>
      <w:r w:rsidR="00840EF1" w:rsidRPr="00840EF1">
        <w:t xml:space="preserve"> </w:t>
      </w:r>
      <w:r w:rsidR="00840EF1">
        <w:t>(</w:t>
      </w:r>
      <w:r w:rsidR="00840EF1" w:rsidRPr="00840EF1">
        <w:t>2011</w:t>
      </w:r>
      <w:r w:rsidR="00840EF1">
        <w:t xml:space="preserve">); </w:t>
      </w:r>
      <w:r w:rsidR="00727FED">
        <w:rPr>
          <w:rFonts w:eastAsia="Times New Roman" w:cs="Times New Roman"/>
        </w:rPr>
        <w:t>Haruki</w:t>
      </w:r>
      <w:r w:rsidR="00727FED">
        <w:rPr>
          <w:rFonts w:eastAsia="Times New Roman" w:cs="Times New Roman"/>
        </w:rPr>
        <w:t xml:space="preserve"> </w:t>
      </w:r>
      <w:r w:rsidR="00727FED">
        <w:rPr>
          <w:rFonts w:eastAsia="Times New Roman" w:cs="Times New Roman"/>
        </w:rPr>
        <w:t>Murakami,</w:t>
      </w:r>
      <w:r w:rsidR="00727FED">
        <w:rPr>
          <w:rFonts w:eastAsia="Times New Roman" w:cs="Times New Roman"/>
        </w:rPr>
        <w:t xml:space="preserve"> </w:t>
      </w:r>
      <w:r w:rsidR="00727FED" w:rsidRPr="00D25BDD">
        <w:rPr>
          <w:rFonts w:eastAsia="Times New Roman" w:cs="Times New Roman"/>
          <w:i/>
          <w:iCs/>
        </w:rPr>
        <w:t>Kafka on the Shore</w:t>
      </w:r>
      <w:r w:rsidR="00727FED">
        <w:rPr>
          <w:rFonts w:eastAsia="Times New Roman" w:cs="Times New Roman"/>
          <w:iCs/>
        </w:rPr>
        <w:t xml:space="preserve"> (</w:t>
      </w:r>
      <w:r w:rsidR="00727FED">
        <w:rPr>
          <w:rFonts w:eastAsia="Times New Roman" w:cs="Times New Roman"/>
          <w:iCs/>
        </w:rPr>
        <w:t>2006</w:t>
      </w:r>
      <w:r w:rsidR="00727FED">
        <w:rPr>
          <w:rFonts w:eastAsia="Times New Roman" w:cs="Times New Roman"/>
          <w:iCs/>
        </w:rPr>
        <w:t>);</w:t>
      </w:r>
      <w:r w:rsidR="00727FED">
        <w:rPr>
          <w:rFonts w:eastAsia="Times New Roman" w:cs="Times New Roman"/>
        </w:rPr>
        <w:t xml:space="preserve"> </w:t>
      </w:r>
      <w:r w:rsidR="00727FED" w:rsidRPr="00727FED">
        <w:t>Azar</w:t>
      </w:r>
      <w:r w:rsidR="00727FED" w:rsidRPr="00727FED">
        <w:t xml:space="preserve"> Nafisi, </w:t>
      </w:r>
      <w:r w:rsidR="00727FED" w:rsidRPr="00727FED">
        <w:rPr>
          <w:i/>
        </w:rPr>
        <w:t>Reading Lolita in Tehran</w:t>
      </w:r>
      <w:r w:rsidR="00727FED">
        <w:t xml:space="preserve"> (2003); </w:t>
      </w:r>
      <w:r w:rsidR="00840EF1" w:rsidRPr="00840EF1">
        <w:t xml:space="preserve">Martha C. </w:t>
      </w:r>
      <w:r w:rsidR="00840EF1" w:rsidRPr="00840EF1">
        <w:t xml:space="preserve">Nussbaum, </w:t>
      </w:r>
      <w:r w:rsidR="00840EF1" w:rsidRPr="00840EF1">
        <w:rPr>
          <w:i/>
        </w:rPr>
        <w:t>For Love of Country?</w:t>
      </w:r>
      <w:r w:rsidR="00840EF1" w:rsidRPr="00840EF1">
        <w:t xml:space="preserve"> </w:t>
      </w:r>
      <w:r w:rsidR="00840EF1">
        <w:t>(</w:t>
      </w:r>
      <w:r w:rsidR="00840EF1" w:rsidRPr="00840EF1">
        <w:t>2002</w:t>
      </w:r>
      <w:r w:rsidR="00840EF1">
        <w:t xml:space="preserve">); </w:t>
      </w:r>
      <w:proofErr w:type="spellStart"/>
      <w:r w:rsidR="00727FED">
        <w:t>Orhan</w:t>
      </w:r>
      <w:proofErr w:type="spellEnd"/>
      <w:r w:rsidR="00727FED">
        <w:t xml:space="preserve"> </w:t>
      </w:r>
      <w:proofErr w:type="spellStart"/>
      <w:r w:rsidR="00727FED">
        <w:t>Pamuk</w:t>
      </w:r>
      <w:proofErr w:type="spellEnd"/>
      <w:r w:rsidR="00727FED">
        <w:t xml:space="preserve">, </w:t>
      </w:r>
      <w:r w:rsidR="00727FED" w:rsidRPr="00727FED">
        <w:rPr>
          <w:i/>
        </w:rPr>
        <w:t>Istanbul: Memories and the City</w:t>
      </w:r>
      <w:r w:rsidR="00727FED">
        <w:t xml:space="preserve"> (2003); </w:t>
      </w:r>
      <w:r w:rsidR="00727FED" w:rsidRPr="00727FED">
        <w:t xml:space="preserve">W. G. </w:t>
      </w:r>
      <w:proofErr w:type="spellStart"/>
      <w:r w:rsidR="00727FED" w:rsidRPr="00727FED">
        <w:t>Sebald</w:t>
      </w:r>
      <w:proofErr w:type="spellEnd"/>
      <w:r w:rsidR="00727FED" w:rsidRPr="00727FED">
        <w:t xml:space="preserve">, </w:t>
      </w:r>
      <w:r w:rsidR="00727FED" w:rsidRPr="00727FED">
        <w:rPr>
          <w:i/>
        </w:rPr>
        <w:t>The Emigrant</w:t>
      </w:r>
      <w:r w:rsidR="00727FED">
        <w:rPr>
          <w:i/>
        </w:rPr>
        <w:t>s</w:t>
      </w:r>
      <w:r w:rsidR="00727FED">
        <w:t xml:space="preserve"> (1992); Mariano </w:t>
      </w:r>
      <w:proofErr w:type="spellStart"/>
      <w:r w:rsidR="00727FED">
        <w:t>S</w:t>
      </w:r>
      <w:r w:rsidR="00727FED" w:rsidRPr="00727FED">
        <w:t>iskind</w:t>
      </w:r>
      <w:proofErr w:type="spellEnd"/>
      <w:r w:rsidR="00727FED">
        <w:t>,</w:t>
      </w:r>
      <w:r w:rsidR="00727FED" w:rsidRPr="00727FED">
        <w:t xml:space="preserve"> </w:t>
      </w:r>
      <w:r w:rsidR="00727FED" w:rsidRPr="00727FED">
        <w:rPr>
          <w:i/>
          <w:iCs/>
        </w:rPr>
        <w:t>Cosmopolitan Desires: Global Modernity and World Literature in Latin America</w:t>
      </w:r>
      <w:r w:rsidR="00727FED">
        <w:t xml:space="preserve"> (</w:t>
      </w:r>
      <w:r w:rsidR="00727FED" w:rsidRPr="00727FED">
        <w:t>2014</w:t>
      </w:r>
      <w:r w:rsidR="00727FED">
        <w:t xml:space="preserve">); </w:t>
      </w:r>
      <w:r w:rsidR="00727FED">
        <w:t>Zadie</w:t>
      </w:r>
      <w:r w:rsidR="00727FED" w:rsidRPr="004A517C">
        <w:t xml:space="preserve"> </w:t>
      </w:r>
      <w:r w:rsidR="00727FED" w:rsidRPr="004A517C">
        <w:t>Smith</w:t>
      </w:r>
      <w:r w:rsidR="00727FED">
        <w:t>,</w:t>
      </w:r>
      <w:r w:rsidR="00727FED" w:rsidRPr="004A517C">
        <w:t xml:space="preserve"> </w:t>
      </w:r>
      <w:r w:rsidR="00727FED">
        <w:rPr>
          <w:i/>
        </w:rPr>
        <w:t>White Teeth</w:t>
      </w:r>
      <w:r w:rsidR="00727FED">
        <w:t xml:space="preserve"> (2000) or </w:t>
      </w:r>
      <w:r w:rsidR="00727FED">
        <w:rPr>
          <w:i/>
        </w:rPr>
        <w:t>NW</w:t>
      </w:r>
      <w:r w:rsidR="00727FED">
        <w:t xml:space="preserve"> (2013).</w:t>
      </w:r>
      <w:r w:rsidR="00840EF1">
        <w:t xml:space="preserve"> </w:t>
      </w:r>
      <w:r w:rsidRPr="001616F0">
        <w:t>Other literary and critical readings will be available through UB Learns or on graduate course reserve.</w:t>
      </w:r>
    </w:p>
    <w:p w14:paraId="6D519D8A" w14:textId="77777777" w:rsidR="001616F0" w:rsidRDefault="001616F0" w:rsidP="004567E2"/>
    <w:p w14:paraId="61312877" w14:textId="77777777" w:rsidR="001616F0" w:rsidRPr="00126846" w:rsidRDefault="001616F0" w:rsidP="001616F0">
      <w:pPr>
        <w:rPr>
          <w:rFonts w:ascii="Athelas" w:hAnsi="Athelas" w:cs="Times New Roman"/>
        </w:rPr>
      </w:pPr>
      <w:r w:rsidRPr="00126846">
        <w:rPr>
          <w:rFonts w:ascii="Athelas" w:hAnsi="Athelas" w:cs="Times New Roman"/>
        </w:rPr>
        <w:t>Course requirements will include a twenty-minute seminar presentation by all enrolled students and a twenty-page research paper from those students registered intensively.</w:t>
      </w:r>
    </w:p>
    <w:p w14:paraId="6397C045" w14:textId="77777777" w:rsidR="001616F0" w:rsidRDefault="001616F0" w:rsidP="004567E2"/>
    <w:p w14:paraId="06BD9067" w14:textId="77777777" w:rsidR="004567E2" w:rsidRDefault="004567E2" w:rsidP="004567E2"/>
    <w:p w14:paraId="31597D3C" w14:textId="77777777" w:rsidR="004567E2" w:rsidRDefault="004567E2" w:rsidP="004567E2"/>
    <w:p w14:paraId="51263B04" w14:textId="77777777" w:rsidR="004567E2" w:rsidRDefault="004567E2" w:rsidP="004567E2"/>
    <w:p w14:paraId="42B2E896" w14:textId="77777777" w:rsidR="004567E2" w:rsidRDefault="004567E2" w:rsidP="004567E2"/>
    <w:p w14:paraId="64919E0D" w14:textId="77777777" w:rsidR="004567E2" w:rsidRDefault="004567E2" w:rsidP="004567E2"/>
    <w:p w14:paraId="41695794" w14:textId="77777777" w:rsidR="004567E2" w:rsidRPr="004567E2" w:rsidRDefault="004567E2" w:rsidP="004567E2"/>
    <w:p w14:paraId="0151901A" w14:textId="77777777" w:rsidR="004567E2" w:rsidRPr="004567E2" w:rsidRDefault="004567E2" w:rsidP="004567E2"/>
    <w:p w14:paraId="3111E5ED" w14:textId="77777777" w:rsidR="004567E2" w:rsidRPr="004567E2" w:rsidRDefault="004567E2" w:rsidP="004567E2"/>
    <w:p w14:paraId="16AE7C95" w14:textId="77777777" w:rsidR="004567E2" w:rsidRDefault="004567E2">
      <w:bookmarkStart w:id="0" w:name="_GoBack"/>
      <w:bookmarkEnd w:id="0"/>
    </w:p>
    <w:sectPr w:rsidR="004567E2" w:rsidSect="00F6035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818CC7" w14:textId="77777777" w:rsidR="004C43F1" w:rsidRDefault="004C43F1" w:rsidP="00210316">
      <w:r>
        <w:separator/>
      </w:r>
    </w:p>
  </w:endnote>
  <w:endnote w:type="continuationSeparator" w:id="0">
    <w:p w14:paraId="0BF35215" w14:textId="77777777" w:rsidR="004C43F1" w:rsidRDefault="004C43F1" w:rsidP="002103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Athelas">
    <w:panose1 w:val="02000503000000020003"/>
    <w:charset w:val="4D"/>
    <w:family w:val="auto"/>
    <w:pitch w:val="variable"/>
    <w:sig w:usb0="A00000AF" w:usb1="5000205B" w:usb2="00000000" w:usb3="00000000" w:csb0="0000009B"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640255" w14:textId="77777777" w:rsidR="004C43F1" w:rsidRDefault="004C43F1" w:rsidP="00210316">
      <w:r>
        <w:separator/>
      </w:r>
    </w:p>
  </w:footnote>
  <w:footnote w:type="continuationSeparator" w:id="0">
    <w:p w14:paraId="7E780BD9" w14:textId="77777777" w:rsidR="004C43F1" w:rsidRDefault="004C43F1" w:rsidP="0021031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EBE"/>
    <w:rsid w:val="001616F0"/>
    <w:rsid w:val="00210316"/>
    <w:rsid w:val="00213211"/>
    <w:rsid w:val="00282BC8"/>
    <w:rsid w:val="00295E1E"/>
    <w:rsid w:val="00390288"/>
    <w:rsid w:val="004567E2"/>
    <w:rsid w:val="00495FFE"/>
    <w:rsid w:val="004C43F1"/>
    <w:rsid w:val="00547503"/>
    <w:rsid w:val="005848F3"/>
    <w:rsid w:val="005B6EBE"/>
    <w:rsid w:val="00727FED"/>
    <w:rsid w:val="007B0D47"/>
    <w:rsid w:val="007C570F"/>
    <w:rsid w:val="008372A9"/>
    <w:rsid w:val="00840EF1"/>
    <w:rsid w:val="00A8612F"/>
    <w:rsid w:val="00B2409B"/>
    <w:rsid w:val="00B43309"/>
    <w:rsid w:val="00BD3AF1"/>
    <w:rsid w:val="00CA76EA"/>
    <w:rsid w:val="00D250CF"/>
    <w:rsid w:val="00F60352"/>
    <w:rsid w:val="00FF00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EB11C7B"/>
  <w15:chartTrackingRefBased/>
  <w15:docId w15:val="{B854EEE1-2AEF-464E-B2F6-F21695309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213211"/>
    <w:rPr>
      <w:sz w:val="20"/>
    </w:rPr>
  </w:style>
  <w:style w:type="character" w:customStyle="1" w:styleId="FootnoteTextChar">
    <w:name w:val="Footnote Text Char"/>
    <w:basedOn w:val="DefaultParagraphFont"/>
    <w:link w:val="FootnoteText"/>
    <w:uiPriority w:val="99"/>
    <w:rsid w:val="00213211"/>
    <w:rPr>
      <w:sz w:val="20"/>
    </w:rPr>
  </w:style>
  <w:style w:type="character" w:styleId="FootnoteReference">
    <w:name w:val="footnote reference"/>
    <w:basedOn w:val="DefaultParagraphFont"/>
    <w:uiPriority w:val="99"/>
    <w:unhideWhenUsed/>
    <w:rsid w:val="0021031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996619">
      <w:bodyDiv w:val="1"/>
      <w:marLeft w:val="0"/>
      <w:marRight w:val="0"/>
      <w:marTop w:val="0"/>
      <w:marBottom w:val="0"/>
      <w:divBdr>
        <w:top w:val="none" w:sz="0" w:space="0" w:color="auto"/>
        <w:left w:val="none" w:sz="0" w:space="0" w:color="auto"/>
        <w:bottom w:val="none" w:sz="0" w:space="0" w:color="auto"/>
        <w:right w:val="none" w:sz="0" w:space="0" w:color="auto"/>
      </w:divBdr>
    </w:div>
    <w:div w:id="1655715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668</Words>
  <Characters>3814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4474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M Conte</dc:creator>
  <cp:keywords/>
  <dc:description/>
  <cp:lastModifiedBy>Joseph M Conte</cp:lastModifiedBy>
  <cp:revision>3</cp:revision>
  <dcterms:created xsi:type="dcterms:W3CDTF">2018-09-28T16:32:00Z</dcterms:created>
  <dcterms:modified xsi:type="dcterms:W3CDTF">2018-09-28T16:33:00Z</dcterms:modified>
</cp:coreProperties>
</file>